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_GB2312" w:hAnsi="宋体" w:eastAsia="仿宋_GB2312"/>
          <w:b/>
          <w:bCs/>
          <w:spacing w:val="-2"/>
          <w:sz w:val="30"/>
          <w:szCs w:val="30"/>
        </w:rPr>
      </w:pPr>
      <w:bookmarkStart w:id="0" w:name="_GoBack"/>
      <w:r>
        <w:rPr>
          <w:rFonts w:hint="eastAsia" w:ascii="仿宋_GB2312" w:hAnsi="宋体" w:eastAsia="仿宋_GB2312"/>
          <w:b/>
          <w:bCs/>
          <w:spacing w:val="-2"/>
          <w:sz w:val="30"/>
          <w:szCs w:val="30"/>
        </w:rPr>
        <w:t>进口可吸收止血纱等耗材竞价谈判公告</w:t>
      </w:r>
    </w:p>
    <w:bookmarkEnd w:id="0"/>
    <w:p>
      <w:pPr>
        <w:spacing w:line="360" w:lineRule="auto"/>
        <w:ind w:firstLine="480" w:firstLineChars="200"/>
        <w:rPr>
          <w:rFonts w:hint="eastAsia" w:cs="Arial"/>
          <w:color w:val="000000"/>
          <w:sz w:val="24"/>
        </w:rPr>
      </w:pPr>
      <w:r>
        <w:rPr>
          <w:rFonts w:hint="eastAsia" w:cs="Arial"/>
          <w:color w:val="000000"/>
          <w:sz w:val="24"/>
        </w:rPr>
        <w:t>根据国</w:t>
      </w:r>
      <w:r>
        <w:rPr>
          <w:rFonts w:hint="eastAsia" w:cs="Arial"/>
          <w:color w:val="000000"/>
          <w:sz w:val="24"/>
        </w:rPr>
        <w:t>家相关法律法规的规定和《皖医二附院采购管理办法》，依照公开、公平、公正的原则，现对我院进口可吸收止血纱等耗材拟采取竞价谈判的方式进行采购，欢迎符合条件的供应商报名参加投标。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w:t>
      </w:r>
      <w:r>
        <w:rPr>
          <w:rFonts w:hint="eastAsia" w:cs="Arial"/>
          <w:sz w:val="24"/>
        </w:rPr>
        <w:t>2021-</w:t>
      </w:r>
      <w:r>
        <w:rPr>
          <w:rFonts w:hint="eastAsia" w:cs="Arial"/>
          <w:sz w:val="24"/>
          <w:lang w:val="en-US" w:eastAsia="zh-CN"/>
        </w:rPr>
        <w:t>105</w:t>
      </w:r>
      <w:r>
        <w:rPr>
          <w:rFonts w:hint="eastAsia" w:cs="Arial"/>
          <w:sz w:val="24"/>
        </w:rPr>
        <w:t>；</w:t>
      </w:r>
    </w:p>
    <w:p>
      <w:pPr>
        <w:spacing w:line="360" w:lineRule="auto"/>
        <w:rPr>
          <w:rFonts w:cs="Arial"/>
          <w:color w:val="000000"/>
          <w:sz w:val="24"/>
        </w:rPr>
      </w:pPr>
      <w:r>
        <w:rPr>
          <w:rFonts w:hint="eastAsia" w:cs="Arial"/>
          <w:color w:val="000000"/>
          <w:sz w:val="24"/>
        </w:rPr>
        <w:t>二、采购内容：</w:t>
      </w:r>
    </w:p>
    <w:tbl>
      <w:tblPr>
        <w:tblStyle w:val="4"/>
        <w:tblW w:w="45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2865"/>
        <w:gridCol w:w="1308"/>
        <w:gridCol w:w="1513"/>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564"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序号</w:t>
            </w:r>
          </w:p>
        </w:tc>
        <w:tc>
          <w:tcPr>
            <w:tcW w:w="1846"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项目名称</w:t>
            </w:r>
          </w:p>
        </w:tc>
        <w:tc>
          <w:tcPr>
            <w:tcW w:w="843"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年用量</w:t>
            </w:r>
          </w:p>
        </w:tc>
        <w:tc>
          <w:tcPr>
            <w:tcW w:w="975" w:type="pct"/>
            <w:vAlign w:val="center"/>
          </w:tcPr>
          <w:p>
            <w:pPr>
              <w:jc w:val="center"/>
              <w:textAlignment w:val="center"/>
              <w:rPr>
                <w:rFonts w:cs="Arial"/>
                <w:color w:val="000000"/>
                <w:sz w:val="24"/>
              </w:rPr>
            </w:pPr>
            <w:r>
              <w:rPr>
                <w:rFonts w:hint="eastAsia" w:cs="Arial"/>
                <w:color w:val="000000"/>
                <w:sz w:val="24"/>
              </w:rPr>
              <w:t>采购期</w:t>
            </w:r>
          </w:p>
        </w:tc>
        <w:tc>
          <w:tcPr>
            <w:tcW w:w="770" w:type="pct"/>
            <w:vAlign w:val="center"/>
          </w:tcPr>
          <w:p>
            <w:pPr>
              <w:jc w:val="center"/>
              <w:textAlignment w:val="center"/>
              <w:rPr>
                <w:rFonts w:cs="Arial"/>
                <w:color w:val="000000"/>
                <w:sz w:val="24"/>
              </w:rPr>
            </w:pPr>
            <w:r>
              <w:rPr>
                <w:rFonts w:hint="eastAsia" w:cs="Arial"/>
                <w:color w:val="000000"/>
                <w:sz w:val="24"/>
              </w:rPr>
              <w:t>采购目录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64"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01</w:t>
            </w:r>
          </w:p>
        </w:tc>
        <w:tc>
          <w:tcPr>
            <w:tcW w:w="1846"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进口可吸收止血纱</w:t>
            </w:r>
          </w:p>
        </w:tc>
        <w:tc>
          <w:tcPr>
            <w:tcW w:w="843"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40</w:t>
            </w:r>
          </w:p>
        </w:tc>
        <w:tc>
          <w:tcPr>
            <w:tcW w:w="975" w:type="pct"/>
            <w:vMerge w:val="restart"/>
            <w:vAlign w:val="center"/>
          </w:tcPr>
          <w:p>
            <w:pPr>
              <w:jc w:val="center"/>
              <w:textAlignment w:val="center"/>
              <w:rPr>
                <w:rFonts w:cs="Arial"/>
                <w:color w:val="000000"/>
                <w:sz w:val="24"/>
              </w:rPr>
            </w:pPr>
            <w:r>
              <w:rPr>
                <w:rFonts w:hint="eastAsia" w:cs="Arial"/>
                <w:color w:val="000000"/>
                <w:sz w:val="24"/>
              </w:rPr>
              <w:t>两年</w:t>
            </w:r>
          </w:p>
        </w:tc>
        <w:tc>
          <w:tcPr>
            <w:tcW w:w="770" w:type="pct"/>
            <w:vMerge w:val="restart"/>
            <w:vAlign w:val="center"/>
          </w:tcPr>
          <w:p>
            <w:pPr>
              <w:jc w:val="center"/>
              <w:textAlignment w:val="center"/>
              <w:rPr>
                <w:rFonts w:hint="eastAsia" w:cs="Arial"/>
                <w:color w:val="000000"/>
                <w:sz w:val="24"/>
              </w:rPr>
            </w:pPr>
            <w:r>
              <w:rPr>
                <w:rFonts w:hint="eastAsia" w:cs="Arial"/>
                <w:color w:val="000000"/>
                <w:sz w:val="24"/>
              </w:rPr>
              <w:t>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64"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02</w:t>
            </w:r>
          </w:p>
        </w:tc>
        <w:tc>
          <w:tcPr>
            <w:tcW w:w="1846"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免打结倒刺缝线</w:t>
            </w:r>
          </w:p>
        </w:tc>
        <w:tc>
          <w:tcPr>
            <w:tcW w:w="843"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50</w:t>
            </w:r>
          </w:p>
        </w:tc>
        <w:tc>
          <w:tcPr>
            <w:tcW w:w="975" w:type="pct"/>
            <w:vMerge w:val="continue"/>
            <w:tcBorders/>
            <w:vAlign w:val="center"/>
          </w:tcPr>
          <w:p>
            <w:pPr>
              <w:jc w:val="center"/>
              <w:textAlignment w:val="center"/>
              <w:rPr>
                <w:rFonts w:cs="Arial"/>
                <w:color w:val="000000"/>
                <w:sz w:val="24"/>
              </w:rPr>
            </w:pPr>
          </w:p>
        </w:tc>
        <w:tc>
          <w:tcPr>
            <w:tcW w:w="770" w:type="pct"/>
            <w:vMerge w:val="continue"/>
            <w:tcBorders/>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64"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03</w:t>
            </w:r>
          </w:p>
        </w:tc>
        <w:tc>
          <w:tcPr>
            <w:tcW w:w="1846"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防渗漏缝线</w:t>
            </w:r>
          </w:p>
        </w:tc>
        <w:tc>
          <w:tcPr>
            <w:tcW w:w="843"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70</w:t>
            </w:r>
          </w:p>
        </w:tc>
        <w:tc>
          <w:tcPr>
            <w:tcW w:w="975" w:type="pct"/>
            <w:vMerge w:val="continue"/>
            <w:tcBorders/>
            <w:vAlign w:val="center"/>
          </w:tcPr>
          <w:p>
            <w:pPr>
              <w:jc w:val="center"/>
              <w:textAlignment w:val="center"/>
              <w:rPr>
                <w:rFonts w:cs="Arial"/>
                <w:color w:val="000000"/>
                <w:sz w:val="24"/>
              </w:rPr>
            </w:pPr>
          </w:p>
        </w:tc>
        <w:tc>
          <w:tcPr>
            <w:tcW w:w="770" w:type="pct"/>
            <w:vMerge w:val="continue"/>
            <w:tcBorders/>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64"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04</w:t>
            </w:r>
          </w:p>
        </w:tc>
        <w:tc>
          <w:tcPr>
            <w:tcW w:w="1846"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一次性微创筋膜闭合器</w:t>
            </w:r>
          </w:p>
        </w:tc>
        <w:tc>
          <w:tcPr>
            <w:tcW w:w="843"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100</w:t>
            </w:r>
          </w:p>
        </w:tc>
        <w:tc>
          <w:tcPr>
            <w:tcW w:w="975" w:type="pct"/>
            <w:vMerge w:val="continue"/>
            <w:tcBorders/>
            <w:vAlign w:val="center"/>
          </w:tcPr>
          <w:p>
            <w:pPr>
              <w:jc w:val="center"/>
              <w:textAlignment w:val="center"/>
              <w:rPr>
                <w:rFonts w:cs="Arial"/>
                <w:color w:val="000000"/>
                <w:sz w:val="24"/>
              </w:rPr>
            </w:pPr>
          </w:p>
        </w:tc>
        <w:tc>
          <w:tcPr>
            <w:tcW w:w="770" w:type="pct"/>
            <w:vMerge w:val="continue"/>
            <w:tcBorders/>
            <w:vAlign w:val="center"/>
          </w:tcPr>
          <w:p>
            <w:pPr>
              <w:jc w:val="center"/>
              <w:textAlignment w:val="center"/>
              <w:rPr>
                <w:rFonts w:cs="Arial"/>
                <w:color w:val="000000"/>
                <w:sz w:val="24"/>
              </w:rPr>
            </w:pP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2.谈判响应方若为制造商，须具有针对所投产品有效的医疗器械生产许可证（二类、三类）或第一类医疗器械生产备案凭证（一类），消毒类产品须提供有效的消毒产品生产企业卫生许可证；</w:t>
      </w:r>
    </w:p>
    <w:p>
      <w:pPr>
        <w:spacing w:line="360" w:lineRule="auto"/>
        <w:rPr>
          <w:rFonts w:hint="eastAsia"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3.谈判响应方若为代理商，须具有有效的医疗器械经营许可证（三类）或有效的第二类医疗器械经营备案凭证（二类），一类医疗器械可以不提供本项，消毒类产品须具有卫生消毒类产品经营范围；</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医疗器械备案凭证（一类），消毒类产品须提供有效的消毒产品卫生安全评价报告；</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hint="eastAsia" w:ascii="宋体" w:hAnsi="宋体" w:cs="宋体"/>
          <w:bCs/>
          <w:color w:val="000000"/>
          <w:sz w:val="24"/>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10</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hint="eastAsia" w:cs="Arial"/>
          <w:color w:val="000000"/>
          <w:sz w:val="24"/>
        </w:rPr>
      </w:pPr>
      <w:r>
        <w:rPr>
          <w:rFonts w:hint="eastAsia" w:ascii="宋体" w:hAnsi="宋体"/>
          <w:sz w:val="24"/>
        </w:rPr>
        <w:t>7.单位负责人为同一人或者存在直接控股、管理关系的谈判响应方，不得参加同一合同下的采购活动；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cs="Arial"/>
          <w:color w:val="000000"/>
          <w:sz w:val="24"/>
        </w:rPr>
      </w:pPr>
      <w:r>
        <w:rPr>
          <w:rFonts w:hint="eastAsia" w:cs="Arial"/>
          <w:color w:val="000000"/>
          <w:sz w:val="24"/>
        </w:rPr>
        <w:t>8.若所投产品在省医药集采平台医用耗材及检验试剂交易系统，须提供产品省集采信息 [提供省医药集采平台查询信息截图、硫酸钙人工骨（进口）及可吸收人工骨粉省集采情况一览表]；</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w:t>
      </w:r>
      <w:r>
        <w:rPr>
          <w:rFonts w:hint="eastAsia" w:cs="Arial"/>
          <w:color w:val="000000"/>
          <w:sz w:val="24"/>
          <w:lang w:val="en-US" w:eastAsia="zh-CN"/>
        </w:rPr>
        <w:t>10</w:t>
      </w:r>
      <w:r>
        <w:rPr>
          <w:rFonts w:hint="eastAsia" w:cs="Arial"/>
          <w:color w:val="000000"/>
          <w:sz w:val="24"/>
        </w:rPr>
        <w:t>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8</w:t>
      </w:r>
      <w:r>
        <w:rPr>
          <w:rFonts w:hint="eastAsia" w:cs="Arial"/>
          <w:color w:val="000000"/>
          <w:sz w:val="24"/>
        </w:rPr>
        <w:t>日至2021年</w:t>
      </w:r>
      <w:r>
        <w:rPr>
          <w:rFonts w:hint="eastAsia" w:cs="Arial"/>
          <w:color w:val="000000"/>
          <w:sz w:val="24"/>
          <w:lang w:val="en-US" w:eastAsia="zh-CN"/>
        </w:rPr>
        <w:t>10</w:t>
      </w:r>
      <w:r>
        <w:rPr>
          <w:rFonts w:hint="eastAsia" w:cs="Arial"/>
          <w:color w:val="000000"/>
          <w:sz w:val="24"/>
        </w:rPr>
        <w:t>月13日止，上午8：00-11：30、下午14：</w:t>
      </w:r>
      <w:r>
        <w:rPr>
          <w:rFonts w:hint="eastAsia" w:cs="Arial"/>
          <w:color w:val="000000"/>
          <w:sz w:val="24"/>
          <w:lang w:val="en-US" w:eastAsia="zh-CN"/>
        </w:rPr>
        <w:t>0</w:t>
      </w:r>
      <w:r>
        <w:rPr>
          <w:rFonts w:hint="eastAsia" w:cs="Arial"/>
          <w:color w:val="000000"/>
          <w:sz w:val="24"/>
        </w:rPr>
        <w:t>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六、报名联系人：沈老师，联系电话：0553-2871845。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9A4"/>
    <w:rsid w:val="00031A7D"/>
    <w:rsid w:val="000A639B"/>
    <w:rsid w:val="000E365F"/>
    <w:rsid w:val="0012498D"/>
    <w:rsid w:val="00183255"/>
    <w:rsid w:val="00204E13"/>
    <w:rsid w:val="002059AF"/>
    <w:rsid w:val="002607B5"/>
    <w:rsid w:val="00265A85"/>
    <w:rsid w:val="00285FF7"/>
    <w:rsid w:val="002C140F"/>
    <w:rsid w:val="002C3685"/>
    <w:rsid w:val="002C5CA6"/>
    <w:rsid w:val="00323B43"/>
    <w:rsid w:val="00341113"/>
    <w:rsid w:val="003439E7"/>
    <w:rsid w:val="00345588"/>
    <w:rsid w:val="00377F50"/>
    <w:rsid w:val="003D37D8"/>
    <w:rsid w:val="003F5BFF"/>
    <w:rsid w:val="0041501C"/>
    <w:rsid w:val="00426133"/>
    <w:rsid w:val="004358AB"/>
    <w:rsid w:val="0045342F"/>
    <w:rsid w:val="004551D6"/>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B37CD"/>
    <w:rsid w:val="00AE16AF"/>
    <w:rsid w:val="00B132CA"/>
    <w:rsid w:val="00B53AF1"/>
    <w:rsid w:val="00B66847"/>
    <w:rsid w:val="00B94BBB"/>
    <w:rsid w:val="00BB1F2E"/>
    <w:rsid w:val="00C73D69"/>
    <w:rsid w:val="00C746F4"/>
    <w:rsid w:val="00CA2BFB"/>
    <w:rsid w:val="00CC2817"/>
    <w:rsid w:val="00D070ED"/>
    <w:rsid w:val="00D221F2"/>
    <w:rsid w:val="00D22683"/>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87D57"/>
    <w:rsid w:val="00F90BC4"/>
    <w:rsid w:val="00FA7800"/>
    <w:rsid w:val="00FB1330"/>
    <w:rsid w:val="0AEB169E"/>
    <w:rsid w:val="177E24F3"/>
    <w:rsid w:val="24D00601"/>
    <w:rsid w:val="340B0C35"/>
    <w:rsid w:val="388C5182"/>
    <w:rsid w:val="3BC35F64"/>
    <w:rsid w:val="44F56F2B"/>
    <w:rsid w:val="5966052C"/>
    <w:rsid w:val="5C8358DD"/>
    <w:rsid w:val="60511323"/>
    <w:rsid w:val="63475CB4"/>
    <w:rsid w:val="65785543"/>
    <w:rsid w:val="66B2244B"/>
    <w:rsid w:val="6CA078C4"/>
    <w:rsid w:val="70FB5916"/>
    <w:rsid w:val="73B67E3A"/>
    <w:rsid w:val="767E7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281</Words>
  <Characters>1605</Characters>
  <Lines>13</Lines>
  <Paragraphs>3</Paragraphs>
  <TotalTime>10</TotalTime>
  <ScaleCrop>false</ScaleCrop>
  <LinksUpToDate>false</LinksUpToDate>
  <CharactersWithSpaces>1883</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2021-10-08T02:31:53Z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892F669AF3DF4D449216A7EC149B4C01</vt:lpwstr>
  </property>
</Properties>
</file>